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7F4EC"/>
  <w:body>
    <w:p>
      <w:r>
        <w:rPr>
          <w:rFonts w:ascii="Archivo" w:hAnsi="Archivo"/>
          <w:b/>
          <w:i w:val="0"/>
          <w:color w:val="17191C"/>
          <w:sz w:val="16"/>
        </w:rPr>
        <w:t xml:space="preserve">FULL COVERAGE  </w:t>
      </w:r>
      <w:r>
        <w:rPr>
          <w:rFonts w:ascii="Archivo" w:hAnsi="Archivo"/>
          <w:b/>
          <w:i w:val="0"/>
          <w:color w:val="A83F0C"/>
          <w:sz w:val="16"/>
        </w:rPr>
        <w:t>FREE BROKER RESOURCE KIT  3 OF 4</w:t>
      </w:r>
    </w:p>
    <w:p>
      <w:pPr>
        <w:spacing w:after="40"/>
      </w:pPr>
      <w:r>
        <w:rPr>
          <w:rFonts w:ascii="Archivo" w:hAnsi="Archivo"/>
          <w:b/>
          <w:i w:val="0"/>
          <w:color w:val="17191C"/>
          <w:sz w:val="42"/>
        </w:rPr>
        <w:t>Insurance Requirements for Freight Brokers</w:t>
      </w:r>
    </w:p>
    <w:p>
      <w:pPr>
        <w:pBdr>
          <w:bottom w:val="single" w:sz="12" w:space="4" w:color="DA5D20"/>
        </w:pBdr>
        <w:spacing w:after="160"/>
      </w:pPr>
      <w:r>
        <w:rPr>
          <w:rFonts w:ascii="Archivo" w:hAnsi="Archivo"/>
          <w:b w:val="0"/>
          <w:i w:val="0"/>
          <w:color w:val="43464B"/>
          <w:sz w:val="20"/>
        </w:rPr>
        <w:t>Two lists: what to require of every carrier you hire, and what your brokerage should carry itself.</w:t>
      </w:r>
    </w:p>
    <w:p>
      <w:pPr>
        <w:keepNext/>
        <w:spacing w:before="100" w:after="20"/>
      </w:pPr>
      <w:r>
        <w:rPr>
          <w:rFonts w:ascii="Archivo" w:hAnsi="Archivo"/>
          <w:b/>
          <w:i w:val="0"/>
          <w:color w:val="A83F0C"/>
          <w:sz w:val="22"/>
        </w:rPr>
        <w:t xml:space="preserve">A  </w:t>
      </w:r>
      <w:r>
        <w:rPr>
          <w:rFonts w:ascii="Archivo" w:hAnsi="Archivo"/>
          <w:b/>
          <w:i w:val="0"/>
          <w:color w:val="17191C"/>
          <w:sz w:val="22"/>
        </w:rPr>
        <w:t>What to require of your carriers</w:t>
      </w:r>
    </w:p>
    <w:tbl>
      <w:tblPr>
        <w:tblW w:type="auto" w:w="0"/>
        <w:jc w:val="left"/>
        <w:tblLook w:firstColumn="1" w:firstRow="1" w:lastColumn="0" w:lastRow="0" w:noHBand="0" w:noVBand="1" w:val="04A0"/>
        <w:tblBorders>
          <w:top w:val="single" w:sz="4" w:color="C9C5BA"/>
          <w:left w:val="single" w:sz="4" w:color="C9C5BA"/>
          <w:bottom w:val="single" w:sz="4" w:color="C9C5BA"/>
          <w:right w:val="single" w:sz="4" w:color="C9C5BA"/>
          <w:insideH w:val="single" w:sz="4" w:color="C9C5BA"/>
          <w:insideV w:val="single" w:sz="4" w:color="C9C5BA"/>
        </w:tblBorders>
      </w:tblPr>
      <w:tblGrid>
        <w:gridCol w:w="3360"/>
        <w:gridCol w:w="3360"/>
        <w:gridCol w:w="3360"/>
      </w:tblGrid>
      <w:tr>
        <w:tc>
          <w:tcPr>
            <w:tcW w:type="dxa" w:w="2160"/>
            <w:shd w:val="clear" w:color="auto" w:fill="EFEBDF"/>
          </w:tcPr>
          <w:p>
            <w:pPr>
              <w:spacing w:after="20"/>
            </w:pPr>
            <w:r>
              <w:rPr>
                <w:rFonts w:ascii="Archivo" w:hAnsi="Archivo"/>
                <w:b/>
                <w:i w:val="0"/>
                <w:color w:val="17191C"/>
                <w:sz w:val="17"/>
              </w:rPr>
              <w:t>Coverage</w:t>
            </w:r>
          </w:p>
        </w:tc>
        <w:tc>
          <w:tcPr>
            <w:tcW w:type="dxa" w:w="3744"/>
            <w:shd w:val="clear" w:color="auto" w:fill="EFEBDF"/>
          </w:tcPr>
          <w:p>
            <w:pPr>
              <w:spacing w:after="20"/>
            </w:pPr>
            <w:r>
              <w:rPr>
                <w:rFonts w:ascii="Archivo" w:hAnsi="Archivo"/>
                <w:b/>
                <w:i w:val="0"/>
                <w:color w:val="17191C"/>
                <w:sz w:val="17"/>
              </w:rPr>
              <w:t>Federal minimum</w:t>
            </w:r>
          </w:p>
        </w:tc>
        <w:tc>
          <w:tcPr>
            <w:tcW w:type="dxa" w:w="4176"/>
            <w:shd w:val="clear" w:color="auto" w:fill="EFEBDF"/>
          </w:tcPr>
          <w:p>
            <w:pPr>
              <w:spacing w:after="20"/>
            </w:pPr>
            <w:r>
              <w:rPr>
                <w:rFonts w:ascii="Archivo" w:hAnsi="Archivo"/>
                <w:b/>
                <w:i w:val="0"/>
                <w:color w:val="17191C"/>
                <w:sz w:val="17"/>
              </w:rPr>
              <w:t>What many brokers require</w:t>
            </w:r>
          </w:p>
        </w:tc>
      </w:tr>
      <w:tr>
        <w:tc>
          <w:tcPr>
            <w:tcW w:type="dxa" w:w="2160"/>
          </w:tcPr>
          <w:p>
            <w:pPr>
              <w:spacing w:after="20"/>
            </w:pPr>
            <w:r>
              <w:rPr>
                <w:rFonts w:ascii="Archivo" w:hAnsi="Archivo"/>
                <w:b w:val="0"/>
                <w:i w:val="0"/>
                <w:color w:val="17191C"/>
                <w:sz w:val="17"/>
              </w:rPr>
              <w:t>Auto liability</w:t>
            </w:r>
          </w:p>
        </w:tc>
        <w:tc>
          <w:tcPr>
            <w:tcW w:type="dxa" w:w="3744"/>
          </w:tcPr>
          <w:p>
            <w:pPr>
              <w:spacing w:after="20"/>
            </w:pPr>
            <w:r>
              <w:rPr>
                <w:rFonts w:ascii="Archivo" w:hAnsi="Archivo"/>
                <w:b w:val="0"/>
                <w:i w:val="0"/>
                <w:color w:val="17191C"/>
                <w:sz w:val="17"/>
              </w:rPr>
              <w:t>$750,000 for general freight in vehicles of 10,001 lb or more (49 CFR 387.9); more for hazmat</w:t>
            </w:r>
          </w:p>
        </w:tc>
        <w:tc>
          <w:tcPr>
            <w:tcW w:type="dxa" w:w="4176"/>
          </w:tcPr>
          <w:p>
            <w:pPr>
              <w:spacing w:after="20"/>
            </w:pPr>
            <w:r>
              <w:rPr>
                <w:rFonts w:ascii="Archivo" w:hAnsi="Archivo"/>
                <w:b w:val="0"/>
                <w:i w:val="0"/>
                <w:color w:val="17191C"/>
                <w:sz w:val="17"/>
              </w:rPr>
              <w:t>$1,000,000 combined single limit</w:t>
            </w:r>
          </w:p>
        </w:tc>
      </w:tr>
      <w:tr>
        <w:tc>
          <w:tcPr>
            <w:tcW w:type="dxa" w:w="2160"/>
          </w:tcPr>
          <w:p>
            <w:pPr>
              <w:spacing w:after="20"/>
            </w:pPr>
            <w:r>
              <w:rPr>
                <w:rFonts w:ascii="Archivo" w:hAnsi="Archivo"/>
                <w:b w:val="0"/>
                <w:i w:val="0"/>
                <w:color w:val="17191C"/>
                <w:sz w:val="17"/>
              </w:rPr>
              <w:t>Motor truck cargo</w:t>
            </w:r>
          </w:p>
        </w:tc>
        <w:tc>
          <w:tcPr>
            <w:tcW w:type="dxa" w:w="3744"/>
          </w:tcPr>
          <w:p>
            <w:pPr>
              <w:spacing w:after="20"/>
            </w:pPr>
            <w:r>
              <w:rPr>
                <w:rFonts w:ascii="Archivo" w:hAnsi="Archivo"/>
                <w:b w:val="0"/>
                <w:i w:val="0"/>
                <w:color w:val="17191C"/>
                <w:sz w:val="17"/>
              </w:rPr>
              <w:t>No federal minimum for most freight</w:t>
            </w:r>
          </w:p>
        </w:tc>
        <w:tc>
          <w:tcPr>
            <w:tcW w:type="dxa" w:w="4176"/>
          </w:tcPr>
          <w:p>
            <w:pPr>
              <w:spacing w:after="20"/>
            </w:pPr>
            <w:r>
              <w:rPr>
                <w:rFonts w:ascii="Archivo" w:hAnsi="Archivo"/>
                <w:b w:val="0"/>
                <w:i w:val="0"/>
                <w:color w:val="17191C"/>
                <w:sz w:val="17"/>
              </w:rPr>
              <w:t>$100,000 per load, more for high-value loads</w:t>
            </w:r>
          </w:p>
        </w:tc>
      </w:tr>
      <w:tr>
        <w:tc>
          <w:tcPr>
            <w:tcW w:type="dxa" w:w="2160"/>
          </w:tcPr>
          <w:p>
            <w:pPr>
              <w:spacing w:after="20"/>
            </w:pPr>
            <w:r>
              <w:rPr>
                <w:rFonts w:ascii="Archivo" w:hAnsi="Archivo"/>
                <w:b w:val="0"/>
                <w:i w:val="0"/>
                <w:color w:val="17191C"/>
                <w:sz w:val="17"/>
              </w:rPr>
              <w:t>General liability</w:t>
            </w:r>
          </w:p>
        </w:tc>
        <w:tc>
          <w:tcPr>
            <w:tcW w:type="dxa" w:w="3744"/>
          </w:tcPr>
          <w:p>
            <w:pPr>
              <w:spacing w:after="20"/>
            </w:pPr>
            <w:r>
              <w:rPr>
                <w:rFonts w:ascii="Archivo" w:hAnsi="Archivo"/>
                <w:b w:val="0"/>
                <w:i w:val="0"/>
                <w:color w:val="17191C"/>
                <w:sz w:val="17"/>
              </w:rPr>
              <w:t>None</w:t>
            </w:r>
          </w:p>
        </w:tc>
        <w:tc>
          <w:tcPr>
            <w:tcW w:type="dxa" w:w="4176"/>
          </w:tcPr>
          <w:p>
            <w:pPr>
              <w:spacing w:after="20"/>
            </w:pPr>
            <w:r>
              <w:rPr>
                <w:rFonts w:ascii="Archivo" w:hAnsi="Archivo"/>
                <w:b w:val="0"/>
                <w:i w:val="0"/>
                <w:color w:val="17191C"/>
                <w:sz w:val="17"/>
              </w:rPr>
              <w:t>$1,000,000 per occurrence</w:t>
            </w:r>
          </w:p>
        </w:tc>
      </w:tr>
      <w:tr>
        <w:tc>
          <w:tcPr>
            <w:tcW w:type="dxa" w:w="2160"/>
          </w:tcPr>
          <w:p>
            <w:pPr>
              <w:spacing w:after="20"/>
            </w:pPr>
            <w:r>
              <w:rPr>
                <w:rFonts w:ascii="Archivo" w:hAnsi="Archivo"/>
                <w:b w:val="0"/>
                <w:i w:val="0"/>
                <w:color w:val="17191C"/>
                <w:sz w:val="17"/>
              </w:rPr>
              <w:t>Workers' compensation</w:t>
            </w:r>
          </w:p>
        </w:tc>
        <w:tc>
          <w:tcPr>
            <w:tcW w:type="dxa" w:w="3744"/>
          </w:tcPr>
          <w:p>
            <w:pPr>
              <w:spacing w:after="20"/>
            </w:pPr>
            <w:r>
              <w:rPr>
                <w:rFonts w:ascii="Archivo" w:hAnsi="Archivo"/>
                <w:b w:val="0"/>
                <w:i w:val="0"/>
                <w:color w:val="17191C"/>
                <w:sz w:val="17"/>
              </w:rPr>
              <w:t>Set by state law</w:t>
            </w:r>
          </w:p>
        </w:tc>
        <w:tc>
          <w:tcPr>
            <w:tcW w:type="dxa" w:w="4176"/>
          </w:tcPr>
          <w:p>
            <w:pPr>
              <w:spacing w:after="20"/>
            </w:pPr>
            <w:r>
              <w:rPr>
                <w:rFonts w:ascii="Archivo" w:hAnsi="Archivo"/>
                <w:b w:val="0"/>
                <w:i w:val="0"/>
                <w:color w:val="17191C"/>
                <w:sz w:val="17"/>
              </w:rPr>
              <w:t>As the state requires</w:t>
            </w:r>
          </w:p>
        </w:tc>
      </w:tr>
      <w:tr>
        <w:tc>
          <w:tcPr>
            <w:tcW w:type="dxa" w:w="2160"/>
          </w:tcPr>
          <w:p>
            <w:pPr>
              <w:spacing w:after="20"/>
            </w:pPr>
            <w:r>
              <w:rPr>
                <w:rFonts w:ascii="Archivo" w:hAnsi="Archivo"/>
                <w:b w:val="0"/>
                <w:i w:val="0"/>
                <w:color w:val="17191C"/>
                <w:sz w:val="17"/>
              </w:rPr>
              <w:t>Certificate</w:t>
            </w:r>
          </w:p>
        </w:tc>
        <w:tc>
          <w:tcPr>
            <w:tcW w:type="dxa" w:w="3744"/>
          </w:tcPr>
          <w:p>
            <w:pPr>
              <w:spacing w:after="20"/>
            </w:pPr>
            <w:r>
              <w:rPr>
                <w:rFonts w:ascii="Archivo" w:hAnsi="Archivo"/>
                <w:b w:val="0"/>
                <w:i w:val="0"/>
                <w:color w:val="17191C"/>
                <w:sz w:val="17"/>
              </w:rPr>
              <w:t>-</w:t>
            </w:r>
          </w:p>
        </w:tc>
        <w:tc>
          <w:tcPr>
            <w:tcW w:type="dxa" w:w="4176"/>
          </w:tcPr>
          <w:p>
            <w:pPr>
              <w:spacing w:after="20"/>
            </w:pPr>
            <w:r>
              <w:rPr>
                <w:rFonts w:ascii="Archivo" w:hAnsi="Archivo"/>
                <w:b w:val="0"/>
                <w:i w:val="0"/>
                <w:color w:val="17191C"/>
                <w:sz w:val="17"/>
              </w:rPr>
              <w:t>From the agent, you as certificate holder, 30 days' cancellation notice</w:t>
            </w:r>
          </w:p>
        </w:tc>
      </w:tr>
    </w:tbl>
    <w:p>
      <w:pPr>
        <w:spacing w:after="40"/>
      </w:pPr>
    </w:p>
    <w:p>
      <w:pPr>
        <w:keepNext/>
        <w:spacing w:before="100" w:after="20"/>
      </w:pPr>
      <w:r>
        <w:rPr>
          <w:rFonts w:ascii="Archivo" w:hAnsi="Archivo"/>
          <w:b/>
          <w:i w:val="0"/>
          <w:color w:val="A83F0C"/>
          <w:sz w:val="22"/>
        </w:rPr>
        <w:t xml:space="preserve">B  </w:t>
      </w:r>
      <w:r>
        <w:rPr>
          <w:rFonts w:ascii="Archivo" w:hAnsi="Archivo"/>
          <w:b/>
          <w:i w:val="0"/>
          <w:color w:val="17191C"/>
          <w:sz w:val="22"/>
        </w:rPr>
        <w:t>What your brokerage should carry</w:t>
      </w:r>
    </w:p>
    <w:p>
      <w:pPr>
        <w:spacing w:after="40"/>
        <w:ind w:left="288" w:hanging="288"/>
      </w:pPr>
      <w:r>
        <w:rPr>
          <w:rFonts w:ascii="Archivo" w:hAnsi="Archivo"/>
          <w:b/>
          <w:i w:val="0"/>
          <w:color w:val="A83F0C"/>
        </w:rPr>
        <w:t xml:space="preserve">–  </w:t>
      </w:r>
      <w:r>
        <w:rPr>
          <w:rFonts w:ascii="Archivo" w:hAnsi="Archivo"/>
          <w:b/>
          <w:i w:val="0"/>
          <w:color w:val="17191C"/>
          <w:sz w:val="19"/>
        </w:rPr>
        <w:t xml:space="preserve">Contingent auto liability. </w:t>
      </w:r>
      <w:r>
        <w:rPr>
          <w:rFonts w:ascii="Archivo" w:hAnsi="Archivo"/>
          <w:b w:val="0"/>
          <w:i w:val="0"/>
          <w:color w:val="17191C"/>
          <w:sz w:val="19"/>
        </w:rPr>
        <w:t>Pays when a carrier you booked causes a crash, the carrier's own auto policy does not pay, and the injured person sues you for choosing that carrier. Shippers often ask for $1,000,000 or more. Ask whether your policy covers a negligent-selection claim; some do not.</w:t>
      </w:r>
    </w:p>
    <w:p>
      <w:pPr>
        <w:spacing w:after="40"/>
        <w:ind w:left="288" w:hanging="288"/>
      </w:pPr>
      <w:r>
        <w:rPr>
          <w:rFonts w:ascii="Archivo" w:hAnsi="Archivo"/>
          <w:b/>
          <w:i w:val="0"/>
          <w:color w:val="A83F0C"/>
        </w:rPr>
        <w:t xml:space="preserve">–  </w:t>
      </w:r>
      <w:r>
        <w:rPr>
          <w:rFonts w:ascii="Archivo" w:hAnsi="Archivo"/>
          <w:b/>
          <w:i w:val="0"/>
          <w:color w:val="17191C"/>
          <w:sz w:val="19"/>
        </w:rPr>
        <w:t xml:space="preserve">Contingent cargo. </w:t>
      </w:r>
      <w:r>
        <w:rPr>
          <w:rFonts w:ascii="Archivo" w:hAnsi="Archivo"/>
          <w:b w:val="0"/>
          <w:i w:val="0"/>
          <w:color w:val="17191C"/>
          <w:sz w:val="19"/>
        </w:rPr>
        <w:t>Pays for the freight when the carrier's cargo insurance does not, for example a lapsed policy, an excluded commodity or a limit too low for the load. Size it to your largest loads.</w:t>
      </w:r>
    </w:p>
    <w:p>
      <w:pPr>
        <w:spacing w:after="40"/>
        <w:ind w:left="288" w:hanging="288"/>
      </w:pPr>
      <w:r>
        <w:rPr>
          <w:rFonts w:ascii="Archivo" w:hAnsi="Archivo"/>
          <w:b/>
          <w:i w:val="0"/>
          <w:color w:val="A83F0C"/>
        </w:rPr>
        <w:t xml:space="preserve">–  </w:t>
      </w:r>
      <w:r>
        <w:rPr>
          <w:rFonts w:ascii="Archivo" w:hAnsi="Archivo"/>
          <w:b/>
          <w:i w:val="0"/>
          <w:color w:val="17191C"/>
          <w:sz w:val="19"/>
        </w:rPr>
        <w:t xml:space="preserve">General liability. </w:t>
      </w:r>
      <w:r>
        <w:rPr>
          <w:rFonts w:ascii="Archivo" w:hAnsi="Archivo"/>
          <w:b w:val="0"/>
          <w:i w:val="0"/>
          <w:color w:val="17191C"/>
          <w:sz w:val="19"/>
        </w:rPr>
        <w:t>Covers injury or damage at your own office and premises, plus some advertising claims. It does not answer a truck-crash claim.</w:t>
      </w:r>
    </w:p>
    <w:p>
      <w:pPr>
        <w:spacing w:after="40"/>
        <w:ind w:left="288" w:hanging="288"/>
      </w:pPr>
      <w:r>
        <w:rPr>
          <w:rFonts w:ascii="Archivo" w:hAnsi="Archivo"/>
          <w:b/>
          <w:i w:val="0"/>
          <w:color w:val="A83F0C"/>
        </w:rPr>
        <w:t xml:space="preserve">–  </w:t>
      </w:r>
      <w:r>
        <w:rPr>
          <w:rFonts w:ascii="Archivo" w:hAnsi="Archivo"/>
          <w:b/>
          <w:i w:val="0"/>
          <w:color w:val="17191C"/>
          <w:sz w:val="19"/>
        </w:rPr>
        <w:t xml:space="preserve">Errors and omissions. </w:t>
      </w:r>
      <w:r>
        <w:rPr>
          <w:rFonts w:ascii="Archivo" w:hAnsi="Archivo"/>
          <w:b w:val="0"/>
          <w:i w:val="0"/>
          <w:color w:val="17191C"/>
          <w:sz w:val="19"/>
        </w:rPr>
        <w:t>Covers mistakes in the service you provide, for example a missed requirement or a booking error that costs a customer money.</w:t>
      </w:r>
    </w:p>
    <w:p>
      <w:pPr>
        <w:spacing w:after="40"/>
        <w:ind w:left="288" w:hanging="288"/>
      </w:pPr>
      <w:r>
        <w:rPr>
          <w:rFonts w:ascii="Archivo" w:hAnsi="Archivo"/>
          <w:b/>
          <w:i w:val="0"/>
          <w:color w:val="A83F0C"/>
        </w:rPr>
        <w:t xml:space="preserve">–  </w:t>
      </w:r>
      <w:r>
        <w:rPr>
          <w:rFonts w:ascii="Archivo" w:hAnsi="Archivo"/>
          <w:b/>
          <w:i w:val="0"/>
          <w:color w:val="17191C"/>
          <w:sz w:val="19"/>
        </w:rPr>
        <w:t xml:space="preserve">The $75,000 broker bond or trust (BMC-84 / BMC-85). </w:t>
      </w:r>
      <w:r>
        <w:rPr>
          <w:rFonts w:ascii="Archivo" w:hAnsi="Archivo"/>
          <w:b w:val="0"/>
          <w:i w:val="0"/>
          <w:color w:val="17191C"/>
          <w:sz w:val="19"/>
        </w:rPr>
        <w:t>Required to hold broker authority (49 CFR 387.307). It protects the carriers and shippers you owe money, not you. It is not liability insurance. Since January 16, 2026, FMCSA can suspend your authority if the bond or trust drops below $75,000.</w:t>
      </w:r>
    </w:p>
    <w:p>
      <w:pPr>
        <w:keepNext/>
        <w:spacing w:before="100" w:after="20"/>
      </w:pPr>
      <w:r>
        <w:rPr>
          <w:rFonts w:ascii="Archivo" w:hAnsi="Archivo"/>
          <w:b/>
          <w:i w:val="0"/>
          <w:color w:val="A83F0C"/>
          <w:sz w:val="22"/>
        </w:rPr>
        <w:t xml:space="preserve">C  </w:t>
      </w:r>
      <w:r>
        <w:rPr>
          <w:rFonts w:ascii="Archivo" w:hAnsi="Archivo"/>
          <w:b/>
          <w:i w:val="0"/>
          <w:color w:val="17191C"/>
          <w:sz w:val="22"/>
        </w:rPr>
        <w:t>Why this matters now</w:t>
      </w:r>
    </w:p>
    <w:p>
      <w:r>
        <w:rPr>
          <w:rFonts w:ascii="Archivo" w:hAnsi="Archivo"/>
          <w:b w:val="0"/>
          <w:i w:val="0"/>
          <w:color w:val="17191C"/>
          <w:sz w:val="19"/>
        </w:rPr>
        <w:t>On May 14, 2026, the Supreme Court ruled 9-0 in Montgomery v. Caribe Transport II, LLC (No. 24-1238) that federal law does not block state negligent-hiring claims against brokers over unsafe carriers. The ruling lets those claims go forward; it did not find any broker liable. Sources are on page 4.</w:t>
      </w:r>
    </w:p>
    <w:p>
      <w:pPr>
        <w:spacing w:before="160"/>
      </w:pPr>
      <w:r>
        <w:rPr>
          <w:rFonts w:ascii="Archivo" w:hAnsi="Archivo"/>
          <w:b/>
          <w:i w:val="0"/>
          <w:color w:val="A83F0C"/>
        </w:rPr>
        <w:t xml:space="preserve">Get a free review of your broker coverage: </w:t>
      </w:r>
      <w:r>
        <w:rPr>
          <w:rFonts w:ascii="Archivo" w:hAnsi="Archivo"/>
          <w:b/>
          <w:i w:val="0"/>
          <w:color w:val="17191C"/>
        </w:rPr>
        <w:t>myfullcoverage.com/freight-broker-resource-kit  |  (317) 427-5599</w:t>
      </w:r>
    </w:p>
    <w:p>
      <w:r>
        <w:rPr>
          <w:rFonts w:ascii="Archivo" w:hAnsi="Archivo"/>
          <w:b w:val="0"/>
          <w:i/>
          <w:color w:val="43464B"/>
          <w:sz w:val="16"/>
        </w:rPr>
        <w:t>Limits shown are common market practice, not legal requirements unless a federal rule is named. Coverage depends on the actual policy wording.</w:t>
      </w:r>
    </w:p>
    <w:sectPr w:rsidR="00FC693F" w:rsidRPr="0006063C" w:rsidSect="00034616">
      <w:footerReference w:type="default" r:id="rId9"/>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chivo" w:hAnsi="Archivo"/>
        <w:color w:val="43464B"/>
        <w:sz w:val="15"/>
      </w:rPr>
      <w:t>Full Coverage LLC  |  myfullcoverage.com  |  (317) 427-5599  |  Free to copy, edit and share.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9" w:lineRule="auto"/>
    </w:pPr>
    <w:rPr>
      <w:rFonts w:ascii="Archivo" w:hAnsi="Archivo" w:eastAsia="Archivo"/>
      <w:color w:val="17191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