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ackground w:color="F7F4EC"/>
  <w:body>
    <w:p>
      <w:r>
        <w:rPr>
          <w:rFonts w:ascii="Archivo" w:hAnsi="Archivo"/>
          <w:b/>
          <w:i w:val="0"/>
          <w:color w:val="17191C"/>
          <w:sz w:val="16"/>
        </w:rPr>
        <w:t xml:space="preserve">FULL COVERAGE  </w:t>
      </w:r>
      <w:r>
        <w:rPr>
          <w:rFonts w:ascii="Archivo" w:hAnsi="Archivo"/>
          <w:b/>
          <w:i w:val="0"/>
          <w:color w:val="A83F0C"/>
          <w:sz w:val="16"/>
        </w:rPr>
        <w:t>FREE BROKER RESOURCE KIT  4 OF 4</w:t>
      </w:r>
    </w:p>
    <w:p>
      <w:pPr>
        <w:spacing w:after="40"/>
      </w:pPr>
      <w:r>
        <w:rPr>
          <w:rFonts w:ascii="Archivo" w:hAnsi="Archivo"/>
          <w:b/>
          <w:i w:val="0"/>
          <w:color w:val="17191C"/>
          <w:sz w:val="42"/>
        </w:rPr>
        <w:t>Sources</w:t>
      </w:r>
    </w:p>
    <w:p>
      <w:pPr>
        <w:pBdr>
          <w:bottom w:val="single" w:sz="12" w:space="4" w:color="DA5D20"/>
        </w:pBdr>
        <w:spacing w:after="160"/>
      </w:pPr>
      <w:r>
        <w:rPr>
          <w:rFonts w:ascii="Archivo" w:hAnsi="Archivo"/>
          <w:b w:val="0"/>
          <w:i w:val="0"/>
          <w:color w:val="43464B"/>
          <w:sz w:val="20"/>
        </w:rPr>
        <w:t>Primary sources for the ruling and the bond rule. Checked October 20, 2026.</w:t>
      </w:r>
    </w:p>
    <w:p>
      <w:pPr>
        <w:keepNext/>
        <w:spacing w:before="100" w:after="20"/>
      </w:pPr>
      <w:r>
        <w:rPr>
          <w:rFonts w:ascii="Archivo" w:hAnsi="Archivo"/>
          <w:b/>
          <w:i w:val="0"/>
          <w:color w:val="A83F0C"/>
          <w:sz w:val="22"/>
        </w:rPr>
        <w:t xml:space="preserve">1  </w:t>
      </w:r>
      <w:r>
        <w:rPr>
          <w:rFonts w:ascii="Archivo" w:hAnsi="Archivo"/>
          <w:b/>
          <w:i w:val="0"/>
          <w:color w:val="17191C"/>
          <w:sz w:val="22"/>
        </w:rPr>
        <w:t>The Supreme Court ruling</w:t>
      </w:r>
    </w:p>
    <w:p>
      <w:pPr>
        <w:spacing w:after="100"/>
      </w:pPr>
      <w:r>
        <w:rPr>
          <w:rFonts w:ascii="Archivo" w:hAnsi="Archivo"/>
          <w:b/>
          <w:i w:val="0"/>
          <w:color w:val="17191C"/>
          <w:sz w:val="19"/>
        </w:rPr>
        <w:t>Supreme Court opinion: Montgomery v. Caribe Transport II, LLC, 608 U.S. ___ (2026), decided May 14, 2026</w:t>
      </w:r>
      <w:r>
        <w:br/>
      </w:r>
      <w:hyperlink r:id="rId10">
        <w:r>
          <w:rPr>
            <w:rFonts w:ascii="Archivo" w:hAnsi="Archivo"/>
            <w:color w:val="A83F0C"/>
            <w:u w:val="single"/>
            <w:sz w:val="17"/>
          </w:rPr>
          <w:t xml:space="preserve">https://www.supremecourt.gov/opinions/25pdf/24-1238_1b7d.pdf</w:t>
        </w:r>
      </w:hyperlink>
    </w:p>
    <w:p>
      <w:pPr>
        <w:spacing w:after="100"/>
      </w:pPr>
      <w:r>
        <w:rPr>
          <w:rFonts w:ascii="Archivo" w:hAnsi="Archivo"/>
          <w:b/>
          <w:i w:val="0"/>
          <w:color w:val="17191C"/>
          <w:sz w:val="19"/>
        </w:rPr>
        <w:t>Supreme Court docket No. 24-1238 (cert granted Oct. 3, 2025; argued Mar. 4, 2026; reversed and remanded)</w:t>
      </w:r>
      <w:r>
        <w:br/>
      </w:r>
      <w:hyperlink r:id="rId11">
        <w:r>
          <w:rPr>
            <w:rFonts w:ascii="Archivo" w:hAnsi="Archivo"/>
            <w:color w:val="A83F0C"/>
            <w:u w:val="single"/>
            <w:sz w:val="17"/>
          </w:rPr>
          <w:t xml:space="preserve">https://www.supremecourt.gov/docket/docketfiles/html/public/24-1238.html</w:t>
        </w:r>
      </w:hyperlink>
    </w:p>
    <w:p>
      <w:pPr>
        <w:spacing w:after="100"/>
      </w:pPr>
      <w:r>
        <w:rPr>
          <w:rFonts w:ascii="Archivo" w:hAnsi="Archivo"/>
          <w:b/>
          <w:i w:val="0"/>
          <w:color w:val="17191C"/>
          <w:sz w:val="19"/>
        </w:rPr>
        <w:t>Related: Total Quality Logistics v. Cox, No. 25-145, cert denied May 26, 2026 (Sixth Circuit ruling stands)</w:t>
      </w:r>
      <w:r>
        <w:br/>
      </w:r>
      <w:hyperlink r:id="rId12">
        <w:r>
          <w:rPr>
            <w:rFonts w:ascii="Archivo" w:hAnsi="Archivo"/>
            <w:color w:val="A83F0C"/>
            <w:u w:val="single"/>
            <w:sz w:val="17"/>
          </w:rPr>
          <w:t xml:space="preserve">https://www.supremecourt.gov/docket/docketfiles/html/public/25-145.html</w:t>
        </w:r>
      </w:hyperlink>
    </w:p>
    <w:p>
      <w:r>
        <w:rPr>
          <w:rFonts w:ascii="Archivo" w:hAnsi="Archivo"/>
          <w:b w:val="0"/>
          <w:i/>
          <w:color w:val="17191C"/>
          <w:sz w:val="18"/>
        </w:rPr>
        <w:t>Holding, quoted from the opinion: "A claim that one company negligently hired another to transport goods is not preempted by the FAAAA because States retain authority to regulate safety 'with respect to motor vehicles' under the Act."</w:t>
      </w:r>
    </w:p>
    <w:p>
      <w:pPr>
        <w:keepNext/>
        <w:spacing w:before="100" w:after="20"/>
      </w:pPr>
      <w:r>
        <w:rPr>
          <w:rFonts w:ascii="Archivo" w:hAnsi="Archivo"/>
          <w:b/>
          <w:i w:val="0"/>
          <w:color w:val="A83F0C"/>
          <w:sz w:val="22"/>
        </w:rPr>
        <w:t xml:space="preserve">2  </w:t>
      </w:r>
      <w:r>
        <w:rPr>
          <w:rFonts w:ascii="Archivo" w:hAnsi="Archivo"/>
          <w:b/>
          <w:i w:val="0"/>
          <w:color w:val="17191C"/>
          <w:sz w:val="22"/>
        </w:rPr>
        <w:t>The broker bond rule</w:t>
      </w:r>
    </w:p>
    <w:p>
      <w:pPr>
        <w:spacing w:after="100"/>
      </w:pPr>
      <w:r>
        <w:rPr>
          <w:rFonts w:ascii="Archivo" w:hAnsi="Archivo"/>
          <w:b/>
          <w:i w:val="0"/>
          <w:color w:val="17191C"/>
          <w:sz w:val="19"/>
        </w:rPr>
        <w:t>FMCSA final rule: Broker and Freight Forwarder Financial Responsibility, 88 FR 78656 (Nov. 16, 2023)</w:t>
      </w:r>
      <w:r>
        <w:br/>
      </w:r>
      <w:hyperlink r:id="rId13">
        <w:r>
          <w:rPr>
            <w:rFonts w:ascii="Archivo" w:hAnsi="Archivo"/>
            <w:color w:val="A83F0C"/>
            <w:u w:val="single"/>
            <w:sz w:val="17"/>
          </w:rPr>
          <w:t xml:space="preserve">https://www.federalregister.gov/documents/2023/11/16/2023-25312/broker-and-freight-forwarder-financial-responsibility</w:t>
        </w:r>
      </w:hyperlink>
    </w:p>
    <w:p>
      <w:pPr>
        <w:spacing w:after="100"/>
      </w:pPr>
      <w:r>
        <w:rPr>
          <w:rFonts w:ascii="Archivo" w:hAnsi="Archivo"/>
          <w:b/>
          <w:i w:val="0"/>
          <w:color w:val="17191C"/>
          <w:sz w:val="19"/>
        </w:rPr>
        <w:t>FMCSA rule moving the compliance date to January 16, 2026, 89 FR 107021 (Dec. 31, 2024)</w:t>
      </w:r>
      <w:r>
        <w:br/>
      </w:r>
      <w:hyperlink r:id="rId14">
        <w:r>
          <w:rPr>
            <w:rFonts w:ascii="Archivo" w:hAnsi="Archivo"/>
            <w:color w:val="A83F0C"/>
            <w:u w:val="single"/>
            <w:sz w:val="17"/>
          </w:rPr>
          <w:t xml:space="preserve">https://www.federalregister.gov/documents/2024/12/31/2024-30509/broker-and-freight-forwarder-financial-responsibility-extension-of-compliance-date</w:t>
        </w:r>
      </w:hyperlink>
    </w:p>
    <w:p>
      <w:pPr>
        <w:spacing w:after="100"/>
      </w:pPr>
      <w:r>
        <w:rPr>
          <w:rFonts w:ascii="Archivo" w:hAnsi="Archivo"/>
          <w:b/>
          <w:i w:val="0"/>
          <w:color w:val="17191C"/>
          <w:sz w:val="19"/>
        </w:rPr>
        <w:t>The bond or trust rule itself: 49 CFR 387.307</w:t>
      </w:r>
      <w:r>
        <w:br/>
      </w:r>
      <w:hyperlink r:id="rId15">
        <w:r>
          <w:rPr>
            <w:rFonts w:ascii="Archivo" w:hAnsi="Archivo"/>
            <w:color w:val="A83F0C"/>
            <w:u w:val="single"/>
            <w:sz w:val="17"/>
          </w:rPr>
          <w:t xml:space="preserve">https://www.ecfr.gov/current/title-49/subtitle-B/chapter-III/subchapter-B/part-387/subpart-C/section-387.307</w:t>
        </w:r>
      </w:hyperlink>
    </w:p>
    <w:p>
      <w:pPr>
        <w:keepNext/>
        <w:spacing w:before="100" w:after="20"/>
      </w:pPr>
      <w:r>
        <w:rPr>
          <w:rFonts w:ascii="Archivo" w:hAnsi="Archivo"/>
          <w:b/>
          <w:i w:val="0"/>
          <w:color w:val="A83F0C"/>
          <w:sz w:val="22"/>
        </w:rPr>
        <w:t xml:space="preserve">3  </w:t>
      </w:r>
      <w:r>
        <w:rPr>
          <w:rFonts w:ascii="Archivo" w:hAnsi="Archivo"/>
          <w:b/>
          <w:i w:val="0"/>
          <w:color w:val="17191C"/>
          <w:sz w:val="22"/>
        </w:rPr>
        <w:t>Where to run the carrier checks</w:t>
      </w:r>
    </w:p>
    <w:p>
      <w:pPr>
        <w:spacing w:after="100"/>
      </w:pPr>
      <w:r>
        <w:rPr>
          <w:rFonts w:ascii="Archivo" w:hAnsi="Archivo"/>
          <w:b/>
          <w:i w:val="0"/>
          <w:color w:val="17191C"/>
          <w:sz w:val="19"/>
        </w:rPr>
        <w:t>FMCSA SAFER company snapshot (safety rating, out-of-service, inspections, crashes)</w:t>
      </w:r>
      <w:r>
        <w:br/>
      </w:r>
      <w:hyperlink r:id="rId16">
        <w:r>
          <w:rPr>
            <w:rFonts w:ascii="Archivo" w:hAnsi="Archivo"/>
            <w:color w:val="A83F0C"/>
            <w:u w:val="single"/>
            <w:sz w:val="17"/>
          </w:rPr>
          <w:t xml:space="preserve">https://safer.fmcsa.dot.gov/CompanySnapshot.aspx</w:t>
        </w:r>
      </w:hyperlink>
    </w:p>
    <w:p>
      <w:pPr>
        <w:spacing w:after="100"/>
      </w:pPr>
      <w:r>
        <w:rPr>
          <w:rFonts w:ascii="Archivo" w:hAnsi="Archivo"/>
          <w:b/>
          <w:i w:val="0"/>
          <w:color w:val="17191C"/>
          <w:sz w:val="19"/>
        </w:rPr>
        <w:t>FMCSA licensing and insurance (authority status, insurance filings)</w:t>
      </w:r>
      <w:r>
        <w:br/>
      </w:r>
      <w:hyperlink r:id="rId17">
        <w:r>
          <w:rPr>
            <w:rFonts w:ascii="Archivo" w:hAnsi="Archivo"/>
            <w:color w:val="A83F0C"/>
            <w:u w:val="single"/>
            <w:sz w:val="17"/>
          </w:rPr>
          <w:t xml:space="preserve">https://li-public.fmcsa.dot.gov</w:t>
        </w:r>
      </w:hyperlink>
    </w:p>
    <w:p>
      <w:pPr>
        <w:spacing w:after="100"/>
      </w:pPr>
      <w:r>
        <w:rPr>
          <w:rFonts w:ascii="Archivo" w:hAnsi="Archivo"/>
          <w:b/>
          <w:i w:val="0"/>
          <w:color w:val="17191C"/>
          <w:sz w:val="19"/>
        </w:rPr>
        <w:t>FMCSA Safety Measurement System</w:t>
      </w:r>
      <w:r>
        <w:br/>
      </w:r>
      <w:hyperlink r:id="rId18">
        <w:r>
          <w:rPr>
            <w:rFonts w:ascii="Archivo" w:hAnsi="Archivo"/>
            <w:color w:val="A83F0C"/>
            <w:u w:val="single"/>
            <w:sz w:val="17"/>
          </w:rPr>
          <w:t xml:space="preserve">https://ai.fmcsa.dot.gov/SMS</w:t>
        </w:r>
      </w:hyperlink>
    </w:p>
    <w:p>
      <w:pPr>
        <w:keepNext/>
        <w:spacing w:before="100" w:after="20"/>
      </w:pPr>
      <w:r>
        <w:rPr>
          <w:rFonts w:ascii="Archivo" w:hAnsi="Archivo"/>
          <w:b/>
          <w:i w:val="0"/>
          <w:color w:val="A83F0C"/>
          <w:sz w:val="22"/>
        </w:rPr>
        <w:t xml:space="preserve">4  </w:t>
      </w:r>
      <w:r>
        <w:rPr>
          <w:rFonts w:ascii="Archivo" w:hAnsi="Archivo"/>
          <w:b/>
          <w:i w:val="0"/>
          <w:color w:val="17191C"/>
          <w:sz w:val="22"/>
        </w:rPr>
        <w:t>Press coverage</w:t>
      </w:r>
    </w:p>
    <w:p>
      <w:pPr>
        <w:spacing w:after="100"/>
      </w:pPr>
      <w:r>
        <w:rPr>
          <w:rFonts w:ascii="Archivo" w:hAnsi="Archivo"/>
          <w:b/>
          <w:i w:val="0"/>
          <w:color w:val="17191C"/>
          <w:sz w:val="19"/>
        </w:rPr>
        <w:t>FreightWaves, May 14, 2026: "The Supreme Court just told every freight broker that they can be sued"</w:t>
      </w:r>
      <w:r>
        <w:br/>
      </w:r>
      <w:hyperlink r:id="rId19">
        <w:r>
          <w:rPr>
            <w:rFonts w:ascii="Archivo" w:hAnsi="Archivo"/>
            <w:color w:val="A83F0C"/>
            <w:u w:val="single"/>
            <w:sz w:val="17"/>
          </w:rPr>
          <w:t xml:space="preserve">https://www.freightwaves.com/news/the-supreme-court-just-told-every-freight-broker-that-they-can-be-sued</w:t>
        </w:r>
      </w:hyperlink>
    </w:p>
    <w:p>
      <w:pPr>
        <w:spacing w:after="100"/>
      </w:pPr>
      <w:r>
        <w:rPr>
          <w:rFonts w:ascii="Archivo" w:hAnsi="Archivo"/>
          <w:b/>
          <w:i w:val="0"/>
          <w:color w:val="17191C"/>
          <w:sz w:val="19"/>
        </w:rPr>
        <w:t>Transport Topics, May 14, 2026: Supreme Court broker liability ruling</w:t>
      </w:r>
      <w:r>
        <w:br/>
      </w:r>
      <w:hyperlink r:id="rId20">
        <w:r>
          <w:rPr>
            <w:rFonts w:ascii="Archivo" w:hAnsi="Archivo"/>
            <w:color w:val="A83F0C"/>
            <w:u w:val="single"/>
            <w:sz w:val="17"/>
          </w:rPr>
          <w:t xml:space="preserve">https://www.ttnews.com/articles/scotus-broker-liability</w:t>
        </w:r>
      </w:hyperlink>
    </w:p>
    <w:sectPr w:rsidR="00FC693F" w:rsidRPr="0006063C" w:rsidSect="00034616">
      <w:footerReference w:type="default" r:id="rId9"/>
      <w:pgSz w:w="12240" w:h="15840"/>
      <w:pgMar w:top="864" w:right="1080" w:bottom="864" w:left="108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pPr>
    <w:r>
      <w:rPr>
        <w:rFonts w:ascii="Archivo" w:hAnsi="Archivo"/>
        <w:color w:val="43464B"/>
        <w:sz w:val="15"/>
      </w:rPr>
      <w:t>Full Coverage LLC  |  myfullcoverage.com  |  (317) 427-5599  |  Free to copy, edit and share.</w:t>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displayBackgroundShap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60" w:line="259" w:lineRule="auto"/>
    </w:pPr>
    <w:rPr>
      <w:rFonts w:ascii="Archivo" w:hAnsi="Archivo" w:eastAsia="Archivo"/>
      <w:color w:val="17191C"/>
      <w:sz w:val="20"/>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hyperlink" Target="https://www.supremecourt.gov/opinions/25pdf/24-1238_1b7d.pdf" TargetMode="External"/><Relationship Id="rId11" Type="http://schemas.openxmlformats.org/officeDocument/2006/relationships/hyperlink" Target="https://www.supremecourt.gov/docket/docketfiles/html/public/24-1238.html" TargetMode="External"/><Relationship Id="rId12" Type="http://schemas.openxmlformats.org/officeDocument/2006/relationships/hyperlink" Target="https://www.supremecourt.gov/docket/docketfiles/html/public/25-145.html" TargetMode="External"/><Relationship Id="rId13" Type="http://schemas.openxmlformats.org/officeDocument/2006/relationships/hyperlink" Target="https://www.federalregister.gov/documents/2023/11/16/2023-25312/broker-and-freight-forwarder-financial-responsibility" TargetMode="External"/><Relationship Id="rId14" Type="http://schemas.openxmlformats.org/officeDocument/2006/relationships/hyperlink" Target="https://www.federalregister.gov/documents/2024/12/31/2024-30509/broker-and-freight-forwarder-financial-responsibility-extension-of-compliance-date" TargetMode="External"/><Relationship Id="rId15" Type="http://schemas.openxmlformats.org/officeDocument/2006/relationships/hyperlink" Target="https://www.ecfr.gov/current/title-49/subtitle-B/chapter-III/subchapter-B/part-387/subpart-C/section-387.307" TargetMode="External"/><Relationship Id="rId16" Type="http://schemas.openxmlformats.org/officeDocument/2006/relationships/hyperlink" Target="https://safer.fmcsa.dot.gov/CompanySnapshot.aspx" TargetMode="External"/><Relationship Id="rId17" Type="http://schemas.openxmlformats.org/officeDocument/2006/relationships/hyperlink" Target="https://li-public.fmcsa.dot.gov" TargetMode="External"/><Relationship Id="rId18" Type="http://schemas.openxmlformats.org/officeDocument/2006/relationships/hyperlink" Target="https://ai.fmcsa.dot.gov/SMS" TargetMode="External"/><Relationship Id="rId19" Type="http://schemas.openxmlformats.org/officeDocument/2006/relationships/hyperlink" Target="https://www.freightwaves.com/news/the-supreme-court-just-told-every-freight-broker-that-they-can-be-sued" TargetMode="External"/><Relationship Id="rId20" Type="http://schemas.openxmlformats.org/officeDocument/2006/relationships/hyperlink" Target="https://www.ttnews.com/articles/scotus-broker-liabili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